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E32C29"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E32C29">
        <w:rPr>
          <w:rFonts w:ascii="Times New Roman" w:eastAsia="Arial" w:hAnsi="Times New Roman" w:cs="Times New Roman"/>
          <w:b/>
          <w:bCs/>
          <w:sz w:val="28"/>
          <w:szCs w:val="28"/>
          <w:lang w:eastAsia="ar-SA"/>
        </w:rPr>
        <w:t>ИЗВЕЩЕНИЕ</w:t>
      </w:r>
    </w:p>
    <w:p w:rsidR="009A427D" w:rsidRPr="00E32C29"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E32C29">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E32C29">
        <w:rPr>
          <w:rFonts w:ascii="Times New Roman" w:eastAsia="Times New Roman" w:hAnsi="Times New Roman" w:cs="Times New Roman"/>
          <w:b/>
          <w:sz w:val="26"/>
          <w:szCs w:val="26"/>
          <w:lang w:eastAsia="ar-SA"/>
        </w:rPr>
        <w:t xml:space="preserve"> на право заключения договора аренды земельного участка</w:t>
      </w:r>
    </w:p>
    <w:p w:rsidR="009A427D" w:rsidRPr="00E32C29"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32C29"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 xml:space="preserve">Организатор электронного Аукциона – </w:t>
      </w:r>
      <w:r w:rsidR="009A427D" w:rsidRPr="00E32C29">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32C29">
        <w:rPr>
          <w:rFonts w:ascii="Times New Roman" w:eastAsia="Times New Roman" w:hAnsi="Times New Roman" w:cs="Times New Roman"/>
          <w:sz w:val="24"/>
          <w:szCs w:val="24"/>
          <w:lang w:eastAsia="ar-SA"/>
        </w:rPr>
        <w:t>302</w:t>
      </w:r>
      <w:r w:rsidR="009A427D" w:rsidRPr="00E32C29">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32C29">
        <w:rPr>
          <w:rFonts w:ascii="Times New Roman" w:hAnsi="Times New Roman" w:cs="Times New Roman"/>
          <w:sz w:val="24"/>
          <w:szCs w:val="24"/>
          <w:shd w:val="clear" w:color="auto" w:fill="FFFFFF"/>
        </w:rPr>
        <w:t>zhelrayon@mail.ru</w:t>
      </w:r>
      <w:r w:rsidR="009A427D" w:rsidRPr="00E32C29">
        <w:rPr>
          <w:rFonts w:ascii="Times New Roman" w:eastAsia="Times New Roman" w:hAnsi="Times New Roman" w:cs="Times New Roman"/>
          <w:sz w:val="24"/>
          <w:szCs w:val="24"/>
          <w:lang w:eastAsia="ar-SA"/>
        </w:rPr>
        <w:t>, ном</w:t>
      </w:r>
      <w:r w:rsidRPr="00E32C29">
        <w:rPr>
          <w:rFonts w:ascii="Times New Roman" w:eastAsia="Times New Roman" w:hAnsi="Times New Roman" w:cs="Times New Roman"/>
          <w:sz w:val="24"/>
          <w:szCs w:val="24"/>
          <w:lang w:eastAsia="ar-SA"/>
        </w:rPr>
        <w:t xml:space="preserve">ер телефона </w:t>
      </w:r>
      <w:r w:rsidR="007006FF" w:rsidRPr="00E32C29">
        <w:rPr>
          <w:rFonts w:ascii="Times New Roman" w:eastAsia="Times New Roman" w:hAnsi="Times New Roman" w:cs="Times New Roman"/>
          <w:sz w:val="24"/>
          <w:szCs w:val="24"/>
          <w:lang w:eastAsia="ar-SA"/>
        </w:rPr>
        <w:t>(47148) 2-16-89</w:t>
      </w:r>
      <w:r w:rsidR="009A427D" w:rsidRPr="00E32C29">
        <w:rPr>
          <w:rFonts w:ascii="Times New Roman" w:eastAsia="Times New Roman" w:hAnsi="Times New Roman" w:cs="Times New Roman"/>
          <w:sz w:val="24"/>
          <w:szCs w:val="24"/>
          <w:lang w:eastAsia="ar-SA"/>
        </w:rPr>
        <w:t>.</w:t>
      </w:r>
    </w:p>
    <w:p w:rsidR="007E21CC" w:rsidRPr="00E32C29"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32C29">
          <w:rPr>
            <w:rStyle w:val="a3"/>
            <w:rFonts w:ascii="Times New Roman" w:eastAsia="Times New Roman" w:hAnsi="Times New Roman" w:cs="Times New Roman"/>
            <w:color w:val="auto"/>
            <w:sz w:val="24"/>
            <w:szCs w:val="24"/>
            <w:u w:val="none"/>
            <w:lang w:eastAsia="ar-SA"/>
          </w:rPr>
          <w:t>http://utp.sberbank-ast.ru/AP</w:t>
        </w:r>
      </w:hyperlink>
      <w:r w:rsidR="007E4341" w:rsidRPr="00E32C29">
        <w:rPr>
          <w:rFonts w:ascii="Times New Roman" w:eastAsia="Times New Roman" w:hAnsi="Times New Roman" w:cs="Times New Roman"/>
          <w:sz w:val="24"/>
          <w:szCs w:val="24"/>
          <w:lang w:eastAsia="ar-SA"/>
        </w:rPr>
        <w:t xml:space="preserve"> </w:t>
      </w:r>
      <w:r w:rsidRPr="00E32C29">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32C29"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32C29"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E32C29"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Электронный Аукцион проводится на основании</w:t>
      </w:r>
      <w:r w:rsidRPr="00E32C29">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065137">
        <w:rPr>
          <w:rFonts w:ascii="Times New Roman" w:eastAsia="Times New Roman" w:hAnsi="Times New Roman" w:cs="Times New Roman"/>
          <w:sz w:val="24"/>
          <w:szCs w:val="24"/>
          <w:lang w:eastAsia="ar-SA"/>
        </w:rPr>
        <w:t>07.10.2025</w:t>
      </w:r>
      <w:r w:rsidR="003219F5" w:rsidRPr="00E32C29">
        <w:rPr>
          <w:rFonts w:ascii="Times New Roman" w:eastAsia="Times New Roman" w:hAnsi="Times New Roman" w:cs="Times New Roman"/>
          <w:sz w:val="24"/>
          <w:szCs w:val="24"/>
          <w:lang w:eastAsia="ar-SA"/>
        </w:rPr>
        <w:t xml:space="preserve"> года № </w:t>
      </w:r>
      <w:r w:rsidR="00065137">
        <w:rPr>
          <w:rFonts w:ascii="Times New Roman" w:eastAsia="Times New Roman" w:hAnsi="Times New Roman" w:cs="Times New Roman"/>
          <w:sz w:val="24"/>
          <w:szCs w:val="24"/>
          <w:lang w:eastAsia="ar-SA"/>
        </w:rPr>
        <w:t>590.</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Электронный Аукцион назначается</w:t>
      </w:r>
      <w:r w:rsidRPr="00E32C29">
        <w:rPr>
          <w:rFonts w:ascii="Times New Roman" w:eastAsia="Times New Roman" w:hAnsi="Times New Roman" w:cs="Times New Roman"/>
          <w:sz w:val="24"/>
          <w:szCs w:val="24"/>
          <w:lang w:eastAsia="ar-SA"/>
        </w:rPr>
        <w:t xml:space="preserve"> на </w:t>
      </w:r>
      <w:r w:rsidR="00904D68" w:rsidRPr="00E32C29">
        <w:rPr>
          <w:rFonts w:ascii="Times New Roman" w:eastAsia="Times New Roman" w:hAnsi="Times New Roman" w:cs="Times New Roman"/>
          <w:sz w:val="24"/>
          <w:szCs w:val="24"/>
          <w:lang w:eastAsia="ar-SA"/>
        </w:rPr>
        <w:t>11</w:t>
      </w:r>
      <w:r w:rsidRPr="00E32C29">
        <w:rPr>
          <w:rFonts w:ascii="Times New Roman" w:eastAsia="Times New Roman" w:hAnsi="Times New Roman" w:cs="Times New Roman"/>
          <w:sz w:val="24"/>
          <w:szCs w:val="24"/>
          <w:lang w:eastAsia="ar-SA"/>
        </w:rPr>
        <w:t xml:space="preserve"> часов </w:t>
      </w:r>
      <w:r w:rsidR="00904D68" w:rsidRPr="00E32C29">
        <w:rPr>
          <w:rFonts w:ascii="Times New Roman" w:eastAsia="Times New Roman" w:hAnsi="Times New Roman" w:cs="Times New Roman"/>
          <w:sz w:val="24"/>
          <w:szCs w:val="24"/>
          <w:lang w:eastAsia="ar-SA"/>
        </w:rPr>
        <w:t>00</w:t>
      </w:r>
      <w:r w:rsidRPr="00E32C29">
        <w:rPr>
          <w:rFonts w:ascii="Times New Roman" w:eastAsia="Times New Roman" w:hAnsi="Times New Roman" w:cs="Times New Roman"/>
          <w:sz w:val="24"/>
          <w:szCs w:val="24"/>
          <w:lang w:eastAsia="ar-SA"/>
        </w:rPr>
        <w:t xml:space="preserve"> минут</w:t>
      </w:r>
      <w:r w:rsidR="00A84ED3" w:rsidRPr="00E32C29">
        <w:rPr>
          <w:rFonts w:ascii="Times New Roman" w:eastAsia="Times New Roman" w:hAnsi="Times New Roman" w:cs="Times New Roman"/>
          <w:sz w:val="24"/>
          <w:szCs w:val="24"/>
          <w:lang w:eastAsia="ar-SA"/>
        </w:rPr>
        <w:t xml:space="preserve"> </w:t>
      </w:r>
      <w:r w:rsidR="00E32C29" w:rsidRPr="00E32C29">
        <w:rPr>
          <w:rFonts w:ascii="Times New Roman" w:eastAsia="Times New Roman" w:hAnsi="Times New Roman" w:cs="Times New Roman"/>
          <w:sz w:val="24"/>
          <w:szCs w:val="24"/>
          <w:lang w:eastAsia="ar-SA"/>
        </w:rPr>
        <w:t>24</w:t>
      </w:r>
      <w:r w:rsidR="00B62A4F" w:rsidRPr="00E32C29">
        <w:rPr>
          <w:rFonts w:ascii="Times New Roman" w:eastAsia="Times New Roman" w:hAnsi="Times New Roman" w:cs="Times New Roman"/>
          <w:sz w:val="24"/>
          <w:szCs w:val="24"/>
          <w:lang w:eastAsia="ar-SA"/>
        </w:rPr>
        <w:t xml:space="preserve"> октября</w:t>
      </w:r>
      <w:r w:rsidR="00A84ED3" w:rsidRPr="00E32C29">
        <w:rPr>
          <w:rFonts w:ascii="Times New Roman" w:eastAsia="Times New Roman" w:hAnsi="Times New Roman" w:cs="Times New Roman"/>
          <w:sz w:val="24"/>
          <w:szCs w:val="24"/>
          <w:lang w:eastAsia="ar-SA"/>
        </w:rPr>
        <w:t xml:space="preserve"> 2025 года</w:t>
      </w:r>
      <w:r w:rsidRPr="00E32C29">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E32C29">
          <w:rPr>
            <w:rStyle w:val="a3"/>
            <w:rFonts w:ascii="Times New Roman" w:eastAsia="Times New Roman" w:hAnsi="Times New Roman" w:cs="Times New Roman"/>
            <w:color w:val="auto"/>
            <w:sz w:val="24"/>
            <w:szCs w:val="24"/>
            <w:lang w:eastAsia="ar-SA"/>
          </w:rPr>
          <w:t>http://utp.sberbank-ast.ru/AP</w:t>
        </w:r>
      </w:hyperlink>
      <w:r w:rsidRPr="00E32C29">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E32C29">
        <w:rPr>
          <w:rFonts w:ascii="Times New Roman" w:eastAsia="Times New Roman" w:hAnsi="Times New Roman" w:cs="Times New Roman"/>
          <w:sz w:val="24"/>
          <w:szCs w:val="24"/>
          <w:lang w:eastAsia="ar-SA"/>
        </w:rPr>
        <w:t>Лёгких Маргарита Александровна (47148) 2-16-89.</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 xml:space="preserve">Электронный Аукцион является открытым по составу участников и по форме подачи предложений о цене предмета </w:t>
      </w:r>
      <w:r w:rsidR="00E32C29">
        <w:rPr>
          <w:rFonts w:ascii="Times New Roman" w:eastAsia="Times New Roman" w:hAnsi="Times New Roman" w:cs="Times New Roman"/>
          <w:sz w:val="24"/>
          <w:szCs w:val="24"/>
          <w:lang w:eastAsia="ar-SA"/>
        </w:rPr>
        <w:t xml:space="preserve">электрон </w:t>
      </w:r>
      <w:r w:rsidRPr="00E32C29">
        <w:rPr>
          <w:rFonts w:ascii="Times New Roman" w:eastAsia="Times New Roman" w:hAnsi="Times New Roman" w:cs="Times New Roman"/>
          <w:sz w:val="24"/>
          <w:szCs w:val="24"/>
          <w:lang w:eastAsia="ar-SA"/>
        </w:rPr>
        <w:t>ого Аукциона.</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E32C29">
        <w:rPr>
          <w:rFonts w:ascii="Times New Roman" w:eastAsia="Times New Roman" w:hAnsi="Times New Roman" w:cs="Times New Roman"/>
          <w:sz w:val="24"/>
          <w:szCs w:val="24"/>
          <w:lang w:eastAsia="ar-SA"/>
        </w:rPr>
        <w:t>,</w:t>
      </w:r>
      <w:r w:rsidRPr="00E32C29">
        <w:rPr>
          <w:rFonts w:ascii="Times New Roman" w:eastAsia="Times New Roman" w:hAnsi="Times New Roman" w:cs="Times New Roman"/>
          <w:sz w:val="24"/>
          <w:szCs w:val="24"/>
          <w:lang w:eastAsia="ar-SA"/>
        </w:rPr>
        <w:t xml:space="preserve"> чем за </w:t>
      </w:r>
      <w:r w:rsidR="003219F5" w:rsidRPr="00E32C29">
        <w:rPr>
          <w:rFonts w:ascii="Times New Roman" w:eastAsia="Times New Roman" w:hAnsi="Times New Roman" w:cs="Times New Roman"/>
          <w:sz w:val="24"/>
          <w:szCs w:val="24"/>
          <w:lang w:eastAsia="ar-SA"/>
        </w:rPr>
        <w:t>3</w:t>
      </w:r>
      <w:r w:rsidRPr="00E32C29">
        <w:rPr>
          <w:rFonts w:ascii="Times New Roman" w:eastAsia="Times New Roman" w:hAnsi="Times New Roman" w:cs="Times New Roman"/>
          <w:sz w:val="24"/>
          <w:szCs w:val="24"/>
          <w:lang w:eastAsia="ar-SA"/>
        </w:rPr>
        <w:t xml:space="preserve"> дн</w:t>
      </w:r>
      <w:r w:rsidR="00AC468E" w:rsidRPr="00E32C29">
        <w:rPr>
          <w:rFonts w:ascii="Times New Roman" w:eastAsia="Times New Roman" w:hAnsi="Times New Roman" w:cs="Times New Roman"/>
          <w:sz w:val="24"/>
          <w:szCs w:val="24"/>
          <w:lang w:eastAsia="ar-SA"/>
        </w:rPr>
        <w:t>я</w:t>
      </w:r>
      <w:r w:rsidRPr="00E32C29">
        <w:rPr>
          <w:rFonts w:ascii="Times New Roman" w:eastAsia="Times New Roman" w:hAnsi="Times New Roman" w:cs="Times New Roman"/>
          <w:sz w:val="24"/>
          <w:szCs w:val="24"/>
          <w:lang w:eastAsia="ar-SA"/>
        </w:rPr>
        <w:t xml:space="preserve"> до проведения электронного Аукциона.</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E32C29"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sz w:val="24"/>
          <w:szCs w:val="24"/>
          <w:lang w:eastAsia="ar-SA"/>
        </w:rPr>
        <w:t>По результатам электрон</w:t>
      </w:r>
      <w:r w:rsidR="009457FC" w:rsidRPr="00E32C29">
        <w:rPr>
          <w:rFonts w:ascii="Times New Roman" w:eastAsia="Times New Roman" w:hAnsi="Times New Roman" w:cs="Times New Roman"/>
          <w:sz w:val="24"/>
          <w:szCs w:val="24"/>
          <w:lang w:eastAsia="ar-SA"/>
        </w:rPr>
        <w:t>ного</w:t>
      </w:r>
      <w:r w:rsidRPr="00E32C29">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E32C29"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E32C29"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Предметом электронного Аукциона является</w:t>
      </w:r>
      <w:r w:rsidRPr="00E32C29">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E32C29">
        <w:rPr>
          <w:rFonts w:ascii="Times New Roman" w:eastAsia="Times New Roman" w:hAnsi="Times New Roman" w:cs="Times New Roman"/>
          <w:sz w:val="24"/>
          <w:szCs w:val="24"/>
          <w:lang w:eastAsia="ar-SA"/>
        </w:rPr>
        <w:t>:</w:t>
      </w:r>
    </w:p>
    <w:p w:rsidR="00543FF7" w:rsidRPr="00E32C29"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Кадастровый номер</w:t>
      </w:r>
      <w:r w:rsidRPr="00E32C29">
        <w:rPr>
          <w:rFonts w:ascii="Times New Roman" w:eastAsia="Times New Roman" w:hAnsi="Times New Roman" w:cs="Times New Roman"/>
          <w:sz w:val="24"/>
          <w:szCs w:val="24"/>
          <w:lang w:eastAsia="ar-SA"/>
        </w:rPr>
        <w:t xml:space="preserve">: </w:t>
      </w:r>
      <w:r w:rsidR="00E32C29" w:rsidRPr="00E32C29">
        <w:rPr>
          <w:rFonts w:ascii="Times New Roman" w:eastAsia="Times New Roman" w:hAnsi="Times New Roman" w:cs="Times New Roman"/>
          <w:sz w:val="24"/>
          <w:szCs w:val="24"/>
          <w:lang w:eastAsia="ar-SA"/>
        </w:rPr>
        <w:t>46:06:110301:103</w:t>
      </w:r>
      <w:r w:rsidR="003219F5" w:rsidRPr="00E32C29">
        <w:rPr>
          <w:rFonts w:ascii="Times New Roman" w:eastAsia="Times New Roman" w:hAnsi="Times New Roman" w:cs="Times New Roman"/>
          <w:sz w:val="24"/>
          <w:szCs w:val="24"/>
          <w:lang w:eastAsia="ar-SA"/>
        </w:rPr>
        <w:t>;</w:t>
      </w:r>
    </w:p>
    <w:p w:rsidR="00543FF7" w:rsidRPr="00E32C29"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Местоположение земельного участка</w:t>
      </w:r>
      <w:r w:rsidRPr="00E32C29">
        <w:rPr>
          <w:rFonts w:ascii="Times New Roman" w:eastAsia="Times New Roman" w:hAnsi="Times New Roman" w:cs="Times New Roman"/>
          <w:sz w:val="24"/>
          <w:szCs w:val="24"/>
          <w:lang w:eastAsia="ar-SA"/>
        </w:rPr>
        <w:t xml:space="preserve">: </w:t>
      </w:r>
      <w:r w:rsidR="00E32C29" w:rsidRPr="00E32C29">
        <w:rPr>
          <w:rFonts w:ascii="Times New Roman" w:eastAsia="Times New Roman" w:hAnsi="Times New Roman" w:cs="Times New Roman"/>
          <w:sz w:val="24"/>
          <w:szCs w:val="24"/>
          <w:lang w:eastAsia="ar-SA"/>
        </w:rPr>
        <w:t>Курская обл, р-н Железногорский, с/с Копенский, д. Копенки, ул. Центральная</w:t>
      </w:r>
      <w:r w:rsidR="00904D68" w:rsidRPr="00E32C29">
        <w:rPr>
          <w:rFonts w:ascii="Times New Roman" w:eastAsia="Times New Roman" w:hAnsi="Times New Roman" w:cs="Times New Roman"/>
          <w:sz w:val="24"/>
          <w:szCs w:val="24"/>
          <w:lang w:eastAsia="ar-SA"/>
        </w:rPr>
        <w:t>;</w:t>
      </w:r>
    </w:p>
    <w:p w:rsidR="00543FF7" w:rsidRPr="00E32C29"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E32C29">
        <w:rPr>
          <w:rFonts w:ascii="Times New Roman" w:eastAsia="Times New Roman" w:hAnsi="Times New Roman" w:cs="Times New Roman"/>
          <w:b/>
          <w:sz w:val="24"/>
          <w:szCs w:val="24"/>
          <w:lang w:eastAsia="ar-SA"/>
        </w:rPr>
        <w:t>Площадь земельного участка</w:t>
      </w:r>
      <w:r w:rsidRPr="00E32C29">
        <w:rPr>
          <w:rFonts w:ascii="Times New Roman" w:eastAsia="Times New Roman" w:hAnsi="Times New Roman" w:cs="Times New Roman"/>
          <w:sz w:val="24"/>
          <w:szCs w:val="24"/>
          <w:lang w:eastAsia="ar-SA"/>
        </w:rPr>
        <w:t xml:space="preserve">: </w:t>
      </w:r>
      <w:r w:rsidR="00E32C29" w:rsidRPr="00E32C29">
        <w:rPr>
          <w:rFonts w:ascii="Times New Roman" w:eastAsia="Times New Roman" w:hAnsi="Times New Roman" w:cs="Times New Roman"/>
          <w:sz w:val="24"/>
          <w:szCs w:val="24"/>
          <w:lang w:eastAsia="ar-SA"/>
        </w:rPr>
        <w:t xml:space="preserve">615 </w:t>
      </w:r>
      <w:r w:rsidRPr="00E32C29">
        <w:rPr>
          <w:rFonts w:ascii="Times New Roman" w:eastAsia="Times New Roman" w:hAnsi="Times New Roman" w:cs="Times New Roman"/>
          <w:sz w:val="24"/>
          <w:szCs w:val="24"/>
          <w:lang w:eastAsia="ar-SA"/>
        </w:rPr>
        <w:t>кв.м.;</w:t>
      </w:r>
    </w:p>
    <w:p w:rsidR="00543FF7" w:rsidRPr="00080A3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Сведения о зарегистрированных правах</w:t>
      </w:r>
      <w:r w:rsidRPr="00080A35">
        <w:rPr>
          <w:rFonts w:ascii="Times New Roman" w:eastAsia="Times New Roman" w:hAnsi="Times New Roman" w:cs="Times New Roman"/>
          <w:sz w:val="24"/>
          <w:szCs w:val="24"/>
          <w:lang w:eastAsia="ar-SA"/>
        </w:rPr>
        <w:t xml:space="preserve">: </w:t>
      </w:r>
      <w:r w:rsidR="00904D68" w:rsidRPr="00080A35">
        <w:rPr>
          <w:rFonts w:ascii="Times New Roman" w:eastAsia="Times New Roman" w:hAnsi="Times New Roman" w:cs="Times New Roman"/>
          <w:sz w:val="24"/>
          <w:szCs w:val="24"/>
          <w:lang w:eastAsia="ar-SA"/>
        </w:rPr>
        <w:t>отсутствуют</w:t>
      </w:r>
      <w:r w:rsidRPr="00080A35">
        <w:rPr>
          <w:rFonts w:ascii="Times New Roman" w:eastAsia="Times New Roman" w:hAnsi="Times New Roman" w:cs="Times New Roman"/>
          <w:sz w:val="24"/>
          <w:szCs w:val="24"/>
          <w:lang w:eastAsia="ar-SA"/>
        </w:rPr>
        <w:t>;</w:t>
      </w:r>
    </w:p>
    <w:p w:rsidR="00333BBC" w:rsidRPr="00080A35"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Ограничения использования земельного участка</w:t>
      </w:r>
      <w:r w:rsidRPr="00080A35">
        <w:rPr>
          <w:rFonts w:ascii="Times New Roman" w:eastAsia="Times New Roman" w:hAnsi="Times New Roman" w:cs="Times New Roman"/>
          <w:sz w:val="24"/>
          <w:szCs w:val="24"/>
          <w:lang w:eastAsia="ar-SA"/>
        </w:rPr>
        <w:t xml:space="preserve">: </w:t>
      </w:r>
      <w:r w:rsidR="00B62A4F" w:rsidRPr="00080A35">
        <w:rPr>
          <w:rFonts w:ascii="Times New Roman" w:eastAsia="Times New Roman" w:hAnsi="Times New Roman" w:cs="Times New Roman"/>
          <w:sz w:val="24"/>
          <w:szCs w:val="24"/>
          <w:lang w:eastAsia="ar-SA"/>
        </w:rPr>
        <w:t>отсутствуют</w:t>
      </w:r>
      <w:r w:rsidR="003219F5" w:rsidRPr="00080A35">
        <w:rPr>
          <w:rFonts w:ascii="Times New Roman" w:eastAsia="Times New Roman" w:hAnsi="Times New Roman" w:cs="Times New Roman"/>
          <w:sz w:val="24"/>
          <w:szCs w:val="24"/>
          <w:lang w:eastAsia="ar-SA"/>
        </w:rPr>
        <w:t>;</w:t>
      </w:r>
    </w:p>
    <w:p w:rsidR="00333BBC" w:rsidRPr="00080A35" w:rsidRDefault="00543FF7" w:rsidP="00BB719F">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Сведения об ограничениях права</w:t>
      </w:r>
      <w:r w:rsidRPr="00080A35">
        <w:rPr>
          <w:rFonts w:ascii="Times New Roman" w:eastAsia="Times New Roman" w:hAnsi="Times New Roman" w:cs="Times New Roman"/>
          <w:sz w:val="24"/>
          <w:szCs w:val="24"/>
          <w:lang w:eastAsia="ar-SA"/>
        </w:rPr>
        <w:t xml:space="preserve">: </w:t>
      </w:r>
      <w:r w:rsidR="00831A05" w:rsidRPr="00080A35">
        <w:rPr>
          <w:rFonts w:ascii="Times New Roman" w:eastAsia="Times New Roman" w:hAnsi="Times New Roman" w:cs="Times New Roman"/>
          <w:sz w:val="24"/>
          <w:szCs w:val="24"/>
          <w:lang w:eastAsia="ar-SA"/>
        </w:rPr>
        <w:t>отсутствуют</w:t>
      </w:r>
      <w:r w:rsidR="003219F5" w:rsidRPr="00080A35">
        <w:rPr>
          <w:rFonts w:ascii="Times New Roman" w:eastAsia="Times New Roman" w:hAnsi="Times New Roman" w:cs="Times New Roman"/>
          <w:sz w:val="24"/>
          <w:szCs w:val="24"/>
          <w:lang w:eastAsia="ar-SA"/>
        </w:rPr>
        <w:t>;</w:t>
      </w:r>
    </w:p>
    <w:p w:rsidR="00543FF7" w:rsidRPr="00080A35"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Сведения о зарегистрированных правах</w:t>
      </w:r>
      <w:r w:rsidR="00E32CD4" w:rsidRPr="00080A35">
        <w:rPr>
          <w:rFonts w:ascii="Times New Roman" w:eastAsia="Times New Roman" w:hAnsi="Times New Roman" w:cs="Times New Roman"/>
          <w:sz w:val="24"/>
          <w:szCs w:val="24"/>
          <w:lang w:eastAsia="ar-SA"/>
        </w:rPr>
        <w:t>:</w:t>
      </w:r>
      <w:r w:rsidRPr="00080A35">
        <w:rPr>
          <w:rFonts w:ascii="Times New Roman" w:eastAsia="Times New Roman" w:hAnsi="Times New Roman" w:cs="Times New Roman"/>
          <w:sz w:val="24"/>
          <w:szCs w:val="24"/>
          <w:lang w:eastAsia="ar-SA"/>
        </w:rPr>
        <w:t xml:space="preserve"> отсутствуют</w:t>
      </w:r>
      <w:r w:rsidR="00904D68" w:rsidRPr="00080A35">
        <w:rPr>
          <w:rFonts w:ascii="Times New Roman" w:eastAsia="Times New Roman" w:hAnsi="Times New Roman" w:cs="Times New Roman"/>
          <w:sz w:val="24"/>
          <w:szCs w:val="24"/>
          <w:lang w:eastAsia="ar-SA"/>
        </w:rPr>
        <w:t>;</w:t>
      </w:r>
    </w:p>
    <w:p w:rsidR="00543FF7" w:rsidRPr="00080A3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Вид разрешенного использования</w:t>
      </w:r>
      <w:r w:rsidRPr="00080A35">
        <w:rPr>
          <w:rFonts w:ascii="Times New Roman" w:eastAsia="Times New Roman" w:hAnsi="Times New Roman" w:cs="Times New Roman"/>
          <w:sz w:val="24"/>
          <w:szCs w:val="24"/>
          <w:lang w:eastAsia="ar-SA"/>
        </w:rPr>
        <w:t xml:space="preserve">: </w:t>
      </w:r>
      <w:r w:rsidR="00080A35" w:rsidRPr="00080A35">
        <w:rPr>
          <w:rFonts w:ascii="Times New Roman" w:eastAsia="Times New Roman" w:hAnsi="Times New Roman" w:cs="Times New Roman"/>
          <w:sz w:val="24"/>
          <w:szCs w:val="24"/>
          <w:lang w:eastAsia="ar-SA"/>
        </w:rPr>
        <w:t>Для расширения личного подсобного хозяйства</w:t>
      </w:r>
      <w:r w:rsidR="003219F5" w:rsidRPr="00080A35">
        <w:rPr>
          <w:rFonts w:ascii="Times New Roman" w:eastAsia="Times New Roman" w:hAnsi="Times New Roman" w:cs="Times New Roman"/>
          <w:sz w:val="24"/>
          <w:szCs w:val="24"/>
          <w:lang w:eastAsia="ar-SA"/>
        </w:rPr>
        <w:t>;</w:t>
      </w:r>
    </w:p>
    <w:p w:rsidR="00543FF7" w:rsidRPr="00080A3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Категория земель</w:t>
      </w:r>
      <w:r w:rsidRPr="00080A35">
        <w:rPr>
          <w:rFonts w:ascii="Times New Roman" w:eastAsia="Times New Roman" w:hAnsi="Times New Roman" w:cs="Times New Roman"/>
          <w:sz w:val="24"/>
          <w:szCs w:val="24"/>
          <w:lang w:eastAsia="ar-SA"/>
        </w:rPr>
        <w:t xml:space="preserve">: </w:t>
      </w:r>
      <w:r w:rsidR="00904D68" w:rsidRPr="00080A35">
        <w:rPr>
          <w:rFonts w:ascii="Times New Roman" w:eastAsia="Times New Roman" w:hAnsi="Times New Roman" w:cs="Times New Roman"/>
          <w:sz w:val="24"/>
          <w:szCs w:val="24"/>
          <w:lang w:eastAsia="ar-SA"/>
        </w:rPr>
        <w:t>земли населенных пунктов</w:t>
      </w:r>
      <w:r w:rsidRPr="00080A35">
        <w:rPr>
          <w:rFonts w:ascii="Times New Roman" w:eastAsia="Times New Roman" w:hAnsi="Times New Roman" w:cs="Times New Roman"/>
          <w:sz w:val="24"/>
          <w:szCs w:val="24"/>
          <w:lang w:eastAsia="ar-SA"/>
        </w:rPr>
        <w:t>;</w:t>
      </w:r>
    </w:p>
    <w:p w:rsidR="00E32CD4" w:rsidRPr="00080A35" w:rsidRDefault="00E32CD4" w:rsidP="00080A35">
      <w:pPr>
        <w:suppressAutoHyphens/>
        <w:spacing w:after="0" w:line="240" w:lineRule="auto"/>
        <w:ind w:left="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080A35">
        <w:rPr>
          <w:rFonts w:ascii="Times New Roman" w:eastAsia="Times New Roman" w:hAnsi="Times New Roman" w:cs="Times New Roman"/>
          <w:sz w:val="24"/>
          <w:szCs w:val="24"/>
          <w:lang w:eastAsia="ar-SA"/>
        </w:rPr>
        <w:t>:</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минимальный размер земельного участка – не устанавливается;</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максимальный размер земельного участка – 5000 квадратных метров;</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отступ от красной линии до линии регулирования застройки при новом строительстве составляет - 3 метра. В сложившейся застройке линию регулирования застройки допускается совмещать с красной линией;</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lastRenderedPageBreak/>
        <w:t xml:space="preserve">- минимальное расстояние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максимальный процент застройки – 50%;</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максимальное количество этажей надземной части зданий, строений, сооружений на территории земельных участков - 4 этажа;</w:t>
      </w:r>
    </w:p>
    <w:p w:rsidR="00080A35" w:rsidRPr="00080A35" w:rsidRDefault="00080A35" w:rsidP="00080A35">
      <w:pPr>
        <w:suppressAutoHyphens/>
        <w:spacing w:after="0" w:line="240" w:lineRule="auto"/>
        <w:ind w:firstLine="709"/>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xml:space="preserve">- максимальная высота от уровня земли: </w:t>
      </w:r>
    </w:p>
    <w:p w:rsidR="00080A35" w:rsidRPr="00080A35" w:rsidRDefault="00080A35" w:rsidP="00080A35">
      <w:pPr>
        <w:pStyle w:val="a4"/>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 xml:space="preserve">до верха плоской кровли - не более 15 м; </w:t>
      </w:r>
    </w:p>
    <w:p w:rsidR="00080A35" w:rsidRPr="00080A35" w:rsidRDefault="00080A35" w:rsidP="00080A35">
      <w:pPr>
        <w:pStyle w:val="a4"/>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до конька скатной кровли - не более 19 м;</w:t>
      </w:r>
    </w:p>
    <w:p w:rsidR="00080A35" w:rsidRPr="00080A35" w:rsidRDefault="00080A35" w:rsidP="00080A35">
      <w:pPr>
        <w:pStyle w:val="a4"/>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080A35">
        <w:rPr>
          <w:rFonts w:ascii="Times New Roman" w:eastAsia="Times New Roman" w:hAnsi="Times New Roman" w:cs="Times New Roman"/>
          <w:sz w:val="24"/>
          <w:szCs w:val="24"/>
          <w:lang w:eastAsia="ar-SA"/>
        </w:rPr>
        <w:t>для всех вспомогательных строений высота от уровня земли до верха плоской кровли не более 4 м, до конька скатной кровли - не более 7 м.</w:t>
      </w:r>
    </w:p>
    <w:p w:rsidR="00E32CD4" w:rsidRPr="0079027B"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79027B"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79027B">
        <w:rPr>
          <w:rFonts w:ascii="Times New Roman" w:eastAsia="Times New Roman" w:hAnsi="Times New Roman" w:cs="Times New Roman"/>
          <w:sz w:val="24"/>
          <w:szCs w:val="24"/>
          <w:lang w:eastAsia="ar-SA"/>
        </w:rPr>
        <w:t xml:space="preserve">: </w:t>
      </w:r>
    </w:p>
    <w:p w:rsidR="00FD75CE" w:rsidRPr="0079027B"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sz w:val="24"/>
          <w:szCs w:val="24"/>
          <w:lang w:eastAsia="ar-SA"/>
        </w:rPr>
        <w:t xml:space="preserve">- Техническая возможность для подключения к системе центрального водоснабжения </w:t>
      </w:r>
      <w:r w:rsidR="0079027B" w:rsidRPr="0079027B">
        <w:rPr>
          <w:rFonts w:ascii="Times New Roman" w:eastAsia="Times New Roman" w:hAnsi="Times New Roman" w:cs="Times New Roman"/>
          <w:sz w:val="24"/>
          <w:szCs w:val="24"/>
          <w:lang w:eastAsia="ar-SA"/>
        </w:rPr>
        <w:t>имеется (ответ о возможности технологического присоединения АО «Курскоблводоканал» от 08.08.2025 года)</w:t>
      </w:r>
      <w:r w:rsidRPr="0079027B">
        <w:rPr>
          <w:rFonts w:ascii="Times New Roman" w:eastAsia="Times New Roman" w:hAnsi="Times New Roman" w:cs="Times New Roman"/>
          <w:sz w:val="24"/>
          <w:szCs w:val="24"/>
          <w:lang w:eastAsia="ar-SA"/>
        </w:rPr>
        <w:t>;</w:t>
      </w:r>
    </w:p>
    <w:p w:rsidR="00E32CD4" w:rsidRPr="0079027B"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sz w:val="24"/>
          <w:szCs w:val="24"/>
          <w:lang w:eastAsia="ar-SA"/>
        </w:rPr>
        <w:t xml:space="preserve">- </w:t>
      </w:r>
      <w:r w:rsidR="00753E82" w:rsidRPr="0079027B">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79027B" w:rsidRPr="0079027B">
        <w:rPr>
          <w:rFonts w:ascii="Times New Roman" w:eastAsia="Times New Roman" w:hAnsi="Times New Roman" w:cs="Times New Roman"/>
          <w:sz w:val="24"/>
          <w:szCs w:val="24"/>
          <w:lang w:eastAsia="ar-SA"/>
        </w:rPr>
        <w:t>08.08</w:t>
      </w:r>
      <w:r w:rsidR="00E7450A" w:rsidRPr="0079027B">
        <w:rPr>
          <w:rFonts w:ascii="Times New Roman" w:eastAsia="Times New Roman" w:hAnsi="Times New Roman" w:cs="Times New Roman"/>
          <w:sz w:val="24"/>
          <w:szCs w:val="24"/>
          <w:lang w:eastAsia="ar-SA"/>
        </w:rPr>
        <w:t>.2025</w:t>
      </w:r>
      <w:r w:rsidR="00753E82" w:rsidRPr="0079027B">
        <w:rPr>
          <w:rFonts w:ascii="Times New Roman" w:eastAsia="Times New Roman" w:hAnsi="Times New Roman" w:cs="Times New Roman"/>
          <w:sz w:val="24"/>
          <w:szCs w:val="24"/>
          <w:lang w:eastAsia="ar-SA"/>
        </w:rPr>
        <w:t xml:space="preserve"> года)</w:t>
      </w:r>
      <w:r w:rsidR="00FD75CE" w:rsidRPr="0079027B">
        <w:rPr>
          <w:rFonts w:ascii="Times New Roman" w:eastAsia="Times New Roman" w:hAnsi="Times New Roman" w:cs="Times New Roman"/>
          <w:sz w:val="24"/>
          <w:szCs w:val="24"/>
          <w:lang w:eastAsia="ar-SA"/>
        </w:rPr>
        <w:t>.</w:t>
      </w:r>
    </w:p>
    <w:p w:rsidR="00E32CD4" w:rsidRPr="0079027B"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79027B"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b/>
          <w:sz w:val="24"/>
          <w:szCs w:val="24"/>
          <w:lang w:eastAsia="ar-SA"/>
        </w:rPr>
        <w:t>Начальный ежегодный размер арендной платы</w:t>
      </w:r>
      <w:r w:rsidRPr="0079027B">
        <w:rPr>
          <w:rFonts w:ascii="Times New Roman" w:eastAsia="Times New Roman" w:hAnsi="Times New Roman" w:cs="Times New Roman"/>
          <w:sz w:val="24"/>
          <w:szCs w:val="24"/>
          <w:lang w:eastAsia="ar-SA"/>
        </w:rPr>
        <w:t xml:space="preserve"> за земельный участок</w:t>
      </w:r>
      <w:r w:rsidR="007006FF" w:rsidRPr="0079027B">
        <w:rPr>
          <w:rFonts w:ascii="Times New Roman" w:eastAsia="Times New Roman" w:hAnsi="Times New Roman" w:cs="Times New Roman"/>
          <w:sz w:val="24"/>
          <w:szCs w:val="24"/>
          <w:lang w:eastAsia="ar-SA"/>
        </w:rPr>
        <w:t xml:space="preserve"> составляет </w:t>
      </w:r>
      <w:r w:rsidR="002C1A8F" w:rsidRPr="0079027B">
        <w:rPr>
          <w:rFonts w:ascii="Times New Roman" w:eastAsia="Times New Roman" w:hAnsi="Times New Roman" w:cs="Times New Roman"/>
          <w:sz w:val="24"/>
          <w:szCs w:val="24"/>
          <w:lang w:eastAsia="ar-SA"/>
        </w:rPr>
        <w:t>20</w:t>
      </w:r>
      <w:r w:rsidR="007006FF" w:rsidRPr="0079027B">
        <w:rPr>
          <w:rFonts w:ascii="Times New Roman" w:eastAsia="Times New Roman" w:hAnsi="Times New Roman" w:cs="Times New Roman"/>
          <w:sz w:val="24"/>
          <w:szCs w:val="24"/>
          <w:lang w:eastAsia="ar-SA"/>
        </w:rPr>
        <w:t>% от кадастровой стоимости</w:t>
      </w:r>
      <w:r w:rsidRPr="0079027B">
        <w:rPr>
          <w:rFonts w:ascii="Times New Roman" w:eastAsia="Times New Roman" w:hAnsi="Times New Roman" w:cs="Times New Roman"/>
          <w:sz w:val="24"/>
          <w:szCs w:val="24"/>
          <w:lang w:eastAsia="ar-SA"/>
        </w:rPr>
        <w:t xml:space="preserve"> – </w:t>
      </w:r>
      <w:r w:rsidR="0079027B" w:rsidRPr="0079027B">
        <w:rPr>
          <w:rFonts w:ascii="Times New Roman" w:eastAsia="Times New Roman" w:hAnsi="Times New Roman" w:cs="Times New Roman"/>
          <w:sz w:val="24"/>
          <w:szCs w:val="24"/>
          <w:lang w:eastAsia="ar-SA"/>
        </w:rPr>
        <w:t>18 363 (Восемнадцать тысяч триста шестьдесят три) рубля 82 копейки</w:t>
      </w:r>
      <w:r w:rsidRPr="0079027B">
        <w:rPr>
          <w:rFonts w:ascii="Times New Roman" w:eastAsia="Times New Roman" w:hAnsi="Times New Roman" w:cs="Times New Roman"/>
          <w:sz w:val="24"/>
          <w:szCs w:val="24"/>
          <w:lang w:eastAsia="ar-SA"/>
        </w:rPr>
        <w:t>.</w:t>
      </w:r>
    </w:p>
    <w:p w:rsidR="00543FF7" w:rsidRPr="0079027B"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79027B"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b/>
          <w:sz w:val="24"/>
          <w:szCs w:val="24"/>
          <w:lang w:eastAsia="ar-SA"/>
        </w:rPr>
        <w:t>Шаг электронного Аукциона</w:t>
      </w:r>
      <w:r w:rsidRPr="0079027B">
        <w:rPr>
          <w:rFonts w:ascii="Times New Roman" w:eastAsia="Times New Roman" w:hAnsi="Times New Roman" w:cs="Times New Roman"/>
          <w:sz w:val="24"/>
          <w:szCs w:val="24"/>
          <w:lang w:eastAsia="ar-SA"/>
        </w:rPr>
        <w:t xml:space="preserve"> составляет </w:t>
      </w:r>
      <w:r w:rsidR="007006FF" w:rsidRPr="0079027B">
        <w:rPr>
          <w:rFonts w:ascii="Times New Roman" w:eastAsia="Times New Roman" w:hAnsi="Times New Roman" w:cs="Times New Roman"/>
          <w:sz w:val="24"/>
          <w:szCs w:val="24"/>
          <w:lang w:eastAsia="ar-SA"/>
        </w:rPr>
        <w:t>3</w:t>
      </w:r>
      <w:r w:rsidRPr="0079027B">
        <w:rPr>
          <w:rFonts w:ascii="Times New Roman" w:eastAsia="Times New Roman" w:hAnsi="Times New Roman" w:cs="Times New Roman"/>
          <w:sz w:val="24"/>
          <w:szCs w:val="24"/>
          <w:lang w:eastAsia="ar-SA"/>
        </w:rPr>
        <w:t xml:space="preserve">% </w:t>
      </w:r>
      <w:r w:rsidR="007006FF" w:rsidRPr="0079027B">
        <w:rPr>
          <w:rFonts w:ascii="Times New Roman" w:eastAsia="Times New Roman" w:hAnsi="Times New Roman" w:cs="Times New Roman"/>
          <w:sz w:val="24"/>
          <w:szCs w:val="24"/>
          <w:lang w:eastAsia="ar-SA"/>
        </w:rPr>
        <w:t>от начальной цены предмета аукциона</w:t>
      </w:r>
      <w:r w:rsidRPr="0079027B">
        <w:rPr>
          <w:rFonts w:ascii="Times New Roman" w:eastAsia="Times New Roman" w:hAnsi="Times New Roman" w:cs="Times New Roman"/>
          <w:sz w:val="24"/>
          <w:szCs w:val="24"/>
          <w:lang w:eastAsia="ar-SA"/>
        </w:rPr>
        <w:t xml:space="preserve"> </w:t>
      </w:r>
      <w:r w:rsidR="00904D68" w:rsidRPr="0079027B">
        <w:rPr>
          <w:rFonts w:ascii="Times New Roman" w:eastAsia="Times New Roman" w:hAnsi="Times New Roman" w:cs="Times New Roman"/>
          <w:sz w:val="24"/>
          <w:szCs w:val="24"/>
          <w:lang w:eastAsia="ar-SA"/>
        </w:rPr>
        <w:t>–</w:t>
      </w:r>
      <w:r w:rsidRPr="0079027B">
        <w:rPr>
          <w:rFonts w:ascii="Times New Roman" w:eastAsia="Times New Roman" w:hAnsi="Times New Roman" w:cs="Times New Roman"/>
          <w:sz w:val="24"/>
          <w:szCs w:val="24"/>
          <w:lang w:eastAsia="ar-SA"/>
        </w:rPr>
        <w:t xml:space="preserve"> </w:t>
      </w:r>
      <w:r w:rsidR="0079027B" w:rsidRPr="0079027B">
        <w:rPr>
          <w:rFonts w:ascii="Times New Roman" w:eastAsia="Times New Roman" w:hAnsi="Times New Roman" w:cs="Times New Roman"/>
          <w:sz w:val="24"/>
          <w:szCs w:val="24"/>
          <w:lang w:eastAsia="ar-SA"/>
        </w:rPr>
        <w:t>550 (Пятьсот пятьдесят) рублей 91 копейка</w:t>
      </w:r>
      <w:r w:rsidRPr="0079027B">
        <w:rPr>
          <w:rFonts w:ascii="Times New Roman" w:eastAsia="Times New Roman" w:hAnsi="Times New Roman" w:cs="Times New Roman"/>
          <w:sz w:val="24"/>
          <w:szCs w:val="24"/>
          <w:lang w:eastAsia="ar-SA"/>
        </w:rPr>
        <w:t>.</w:t>
      </w:r>
    </w:p>
    <w:p w:rsidR="007006FF" w:rsidRPr="0079027B"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79027B"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b/>
          <w:sz w:val="24"/>
          <w:szCs w:val="24"/>
          <w:lang w:eastAsia="ar-SA"/>
        </w:rPr>
        <w:t xml:space="preserve">Размер задатка: </w:t>
      </w:r>
      <w:r w:rsidRPr="0079027B">
        <w:rPr>
          <w:rFonts w:ascii="Times New Roman" w:eastAsia="Times New Roman" w:hAnsi="Times New Roman" w:cs="Times New Roman"/>
          <w:sz w:val="24"/>
          <w:szCs w:val="24"/>
          <w:lang w:eastAsia="ar-SA"/>
        </w:rPr>
        <w:t>20% от первоначальной цены лота –</w:t>
      </w:r>
      <w:r w:rsidR="00E46831" w:rsidRPr="0079027B">
        <w:rPr>
          <w:rFonts w:ascii="Times New Roman" w:eastAsia="Times New Roman" w:hAnsi="Times New Roman" w:cs="Times New Roman"/>
          <w:sz w:val="24"/>
          <w:szCs w:val="24"/>
          <w:lang w:eastAsia="ar-SA"/>
        </w:rPr>
        <w:t xml:space="preserve"> </w:t>
      </w:r>
      <w:r w:rsidR="0079027B" w:rsidRPr="0079027B">
        <w:rPr>
          <w:rFonts w:ascii="Times New Roman" w:eastAsia="Times New Roman" w:hAnsi="Times New Roman" w:cs="Times New Roman"/>
          <w:sz w:val="24"/>
          <w:szCs w:val="24"/>
          <w:lang w:eastAsia="ar-SA"/>
        </w:rPr>
        <w:t>3 672 (Три тысячи шестьсот семьдесят два) рубля 76 копеек</w:t>
      </w:r>
      <w:r w:rsidR="007E21CC" w:rsidRPr="0079027B">
        <w:rPr>
          <w:rFonts w:ascii="Times New Roman" w:eastAsia="Times New Roman" w:hAnsi="Times New Roman" w:cs="Times New Roman"/>
          <w:sz w:val="24"/>
          <w:szCs w:val="24"/>
          <w:lang w:eastAsia="ar-SA"/>
        </w:rPr>
        <w:t>.</w:t>
      </w:r>
    </w:p>
    <w:p w:rsidR="007006FF" w:rsidRPr="0079027B"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79027B"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79027B">
        <w:rPr>
          <w:rFonts w:ascii="Times New Roman" w:eastAsia="Times New Roman" w:hAnsi="Times New Roman" w:cs="Times New Roman"/>
          <w:b/>
          <w:sz w:val="24"/>
          <w:szCs w:val="24"/>
          <w:lang w:eastAsia="ar-SA"/>
        </w:rPr>
        <w:t>Срок аренды земельного участка</w:t>
      </w:r>
      <w:r w:rsidR="007006FF" w:rsidRPr="0079027B">
        <w:rPr>
          <w:rFonts w:ascii="Times New Roman" w:eastAsia="Times New Roman" w:hAnsi="Times New Roman" w:cs="Times New Roman"/>
          <w:sz w:val="24"/>
          <w:szCs w:val="24"/>
          <w:lang w:eastAsia="ar-SA"/>
        </w:rPr>
        <w:t xml:space="preserve"> – </w:t>
      </w:r>
      <w:r w:rsidR="002744B0" w:rsidRPr="0079027B">
        <w:rPr>
          <w:rFonts w:ascii="Times New Roman" w:eastAsia="Times New Roman" w:hAnsi="Times New Roman" w:cs="Times New Roman"/>
          <w:sz w:val="24"/>
          <w:szCs w:val="24"/>
          <w:lang w:eastAsia="ar-SA"/>
        </w:rPr>
        <w:t>20</w:t>
      </w:r>
      <w:r w:rsidR="002C1A8F" w:rsidRPr="0079027B">
        <w:rPr>
          <w:rFonts w:ascii="Times New Roman" w:eastAsia="Times New Roman" w:hAnsi="Times New Roman" w:cs="Times New Roman"/>
          <w:sz w:val="24"/>
          <w:szCs w:val="24"/>
          <w:lang w:eastAsia="ar-SA"/>
        </w:rPr>
        <w:t xml:space="preserve"> лет</w:t>
      </w:r>
      <w:r w:rsidRPr="0079027B">
        <w:rPr>
          <w:rFonts w:ascii="Times New Roman" w:eastAsia="Times New Roman" w:hAnsi="Times New Roman" w:cs="Times New Roman"/>
          <w:sz w:val="24"/>
          <w:szCs w:val="24"/>
          <w:lang w:eastAsia="ar-SA"/>
        </w:rPr>
        <w:t>.</w:t>
      </w:r>
    </w:p>
    <w:p w:rsidR="00884FB7" w:rsidRPr="0079027B"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84737"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84737">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84737"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84737"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84737">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2A0F35"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A0F35"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b/>
          <w:sz w:val="24"/>
          <w:szCs w:val="24"/>
          <w:lang w:eastAsia="ar-SA"/>
        </w:rPr>
        <w:t>Дата размещения извещения</w:t>
      </w:r>
      <w:r w:rsidRPr="002A0F35">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2A0F35" w:rsidRPr="002A0F35">
        <w:rPr>
          <w:rFonts w:ascii="Times New Roman" w:eastAsia="Times New Roman" w:hAnsi="Times New Roman" w:cs="Times New Roman"/>
          <w:sz w:val="24"/>
          <w:szCs w:val="24"/>
          <w:lang w:eastAsia="ar-SA"/>
        </w:rPr>
        <w:t>01.07</w:t>
      </w:r>
      <w:r w:rsidR="000F4ADA" w:rsidRPr="002A0F35">
        <w:rPr>
          <w:rFonts w:ascii="Times New Roman" w:eastAsia="Times New Roman" w:hAnsi="Times New Roman" w:cs="Times New Roman"/>
          <w:sz w:val="24"/>
          <w:szCs w:val="24"/>
          <w:lang w:eastAsia="ar-SA"/>
        </w:rPr>
        <w:t>.2025 года.</w:t>
      </w:r>
    </w:p>
    <w:p w:rsidR="003219F5" w:rsidRPr="002A0F35"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A0F3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Условия использования земельного участка:</w:t>
      </w:r>
    </w:p>
    <w:p w:rsidR="007E21CC" w:rsidRPr="002A0F3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lastRenderedPageBreak/>
        <w:t>1.</w:t>
      </w:r>
      <w:r w:rsidRPr="002A0F3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2A0F3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w:t>
      </w:r>
      <w:r w:rsidRPr="002A0F35">
        <w:rPr>
          <w:rFonts w:ascii="Times New Roman" w:eastAsia="Times New Roman" w:hAnsi="Times New Roman" w:cs="Times New Roman"/>
          <w:sz w:val="24"/>
          <w:szCs w:val="24"/>
          <w:lang w:eastAsia="ar-SA"/>
        </w:rPr>
        <w:tab/>
        <w:t>Работы по освоению земельного участка необходимо осуществлять</w:t>
      </w:r>
      <w:r w:rsidR="00E46831" w:rsidRPr="002A0F35">
        <w:rPr>
          <w:rFonts w:ascii="Times New Roman" w:eastAsia="Times New Roman" w:hAnsi="Times New Roman" w:cs="Times New Roman"/>
          <w:sz w:val="24"/>
          <w:szCs w:val="24"/>
          <w:lang w:eastAsia="ar-SA"/>
        </w:rPr>
        <w:t xml:space="preserve"> </w:t>
      </w:r>
      <w:r w:rsidRPr="002A0F35">
        <w:rPr>
          <w:rFonts w:ascii="Times New Roman" w:eastAsia="Times New Roman" w:hAnsi="Times New Roman" w:cs="Times New Roman"/>
          <w:sz w:val="24"/>
          <w:szCs w:val="24"/>
          <w:lang w:eastAsia="ar-SA"/>
        </w:rPr>
        <w:t xml:space="preserve">с учетом обеспечения проходами, проездами земельных участков, находящихся в непосредственной  близости. </w:t>
      </w:r>
    </w:p>
    <w:p w:rsidR="007E21CC" w:rsidRPr="002A0F3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3.</w:t>
      </w:r>
      <w:r w:rsidRPr="002A0F35">
        <w:rPr>
          <w:rFonts w:ascii="Times New Roman" w:eastAsia="Times New Roman" w:hAnsi="Times New Roman" w:cs="Times New Roman"/>
          <w:sz w:val="24"/>
          <w:szCs w:val="24"/>
          <w:lang w:eastAsia="ar-SA"/>
        </w:rPr>
        <w:tab/>
        <w:t>Изменение вида разрешенного использования земельного участка</w:t>
      </w:r>
      <w:r w:rsidR="00E46831" w:rsidRPr="002A0F35">
        <w:rPr>
          <w:rFonts w:ascii="Times New Roman" w:eastAsia="Times New Roman" w:hAnsi="Times New Roman" w:cs="Times New Roman"/>
          <w:sz w:val="24"/>
          <w:szCs w:val="24"/>
          <w:lang w:eastAsia="ar-SA"/>
        </w:rPr>
        <w:t xml:space="preserve"> </w:t>
      </w:r>
      <w:r w:rsidRPr="002A0F35">
        <w:rPr>
          <w:rFonts w:ascii="Times New Roman" w:eastAsia="Times New Roman" w:hAnsi="Times New Roman" w:cs="Times New Roman"/>
          <w:sz w:val="24"/>
          <w:szCs w:val="24"/>
          <w:lang w:eastAsia="ar-SA"/>
        </w:rPr>
        <w:t>не допускается.</w:t>
      </w:r>
    </w:p>
    <w:p w:rsidR="007E21CC" w:rsidRPr="002A0F3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4.</w:t>
      </w:r>
      <w:r w:rsidRPr="002A0F3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2A0F3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5.</w:t>
      </w:r>
      <w:r w:rsidRPr="002A0F3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2A0F3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2A0F3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2A0F3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2A0F3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2A0F3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ОБЩИЕ ПОЛОЖЕНИЯ</w:t>
      </w:r>
    </w:p>
    <w:p w:rsidR="00F90F55" w:rsidRPr="002A0F3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2A0F3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2A0F3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2A0F3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2A0F3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Порядок регистрации на электронной площадке.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Порядок подачи заявки на участие в аукционе.</w:t>
      </w:r>
    </w:p>
    <w:p w:rsidR="00F47A5D" w:rsidRPr="002A0F3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2A0F3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2A0F3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2A0F35">
        <w:rPr>
          <w:rFonts w:ascii="Times New Roman" w:eastAsia="Times New Roman" w:hAnsi="Times New Roman" w:cs="Times New Roman"/>
          <w:sz w:val="24"/>
          <w:szCs w:val="24"/>
          <w:lang w:eastAsia="ar-SA"/>
        </w:rPr>
        <w:t xml:space="preserve">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lastRenderedPageBreak/>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Дата и время начала приема заявок: </w:t>
      </w:r>
      <w:r w:rsidR="00904D68" w:rsidRPr="002A0F35">
        <w:rPr>
          <w:rFonts w:ascii="Times New Roman" w:eastAsia="Times New Roman" w:hAnsi="Times New Roman" w:cs="Times New Roman"/>
          <w:sz w:val="24"/>
          <w:szCs w:val="24"/>
          <w:lang w:eastAsia="ar-SA"/>
        </w:rPr>
        <w:t>10</w:t>
      </w:r>
      <w:r w:rsidRPr="002A0F35">
        <w:rPr>
          <w:rFonts w:ascii="Times New Roman" w:eastAsia="Times New Roman" w:hAnsi="Times New Roman" w:cs="Times New Roman"/>
          <w:sz w:val="24"/>
          <w:szCs w:val="24"/>
          <w:lang w:eastAsia="ar-SA"/>
        </w:rPr>
        <w:t xml:space="preserve"> часов </w:t>
      </w:r>
      <w:r w:rsidR="00904D68" w:rsidRPr="002A0F35">
        <w:rPr>
          <w:rFonts w:ascii="Times New Roman" w:eastAsia="Times New Roman" w:hAnsi="Times New Roman" w:cs="Times New Roman"/>
          <w:sz w:val="24"/>
          <w:szCs w:val="24"/>
          <w:lang w:eastAsia="ar-SA"/>
        </w:rPr>
        <w:t>00</w:t>
      </w:r>
      <w:r w:rsidRPr="002A0F35">
        <w:rPr>
          <w:rFonts w:ascii="Times New Roman" w:eastAsia="Times New Roman" w:hAnsi="Times New Roman" w:cs="Times New Roman"/>
          <w:sz w:val="24"/>
          <w:szCs w:val="24"/>
          <w:lang w:eastAsia="ar-SA"/>
        </w:rPr>
        <w:t xml:space="preserve"> минут по московскому времени с </w:t>
      </w:r>
      <w:r w:rsidR="002A0F35" w:rsidRPr="002A0F35">
        <w:rPr>
          <w:rFonts w:ascii="Times New Roman" w:eastAsia="Times New Roman" w:hAnsi="Times New Roman" w:cs="Times New Roman"/>
          <w:sz w:val="24"/>
          <w:szCs w:val="24"/>
          <w:lang w:eastAsia="ar-SA"/>
        </w:rPr>
        <w:t>09</w:t>
      </w:r>
      <w:r w:rsidR="00090CE6" w:rsidRPr="002A0F35">
        <w:rPr>
          <w:rFonts w:ascii="Times New Roman" w:eastAsia="Times New Roman" w:hAnsi="Times New Roman" w:cs="Times New Roman"/>
          <w:sz w:val="24"/>
          <w:szCs w:val="24"/>
          <w:lang w:eastAsia="ar-SA"/>
        </w:rPr>
        <w:t xml:space="preserve"> </w:t>
      </w:r>
      <w:r w:rsidR="002A0F35" w:rsidRPr="002A0F35">
        <w:rPr>
          <w:rFonts w:ascii="Times New Roman" w:eastAsia="Times New Roman" w:hAnsi="Times New Roman" w:cs="Times New Roman"/>
          <w:sz w:val="24"/>
          <w:szCs w:val="24"/>
          <w:lang w:eastAsia="ar-SA"/>
        </w:rPr>
        <w:t>октября</w:t>
      </w:r>
      <w:r w:rsidR="00CB3F50" w:rsidRPr="002A0F35">
        <w:rPr>
          <w:rFonts w:ascii="Times New Roman" w:eastAsia="Times New Roman" w:hAnsi="Times New Roman" w:cs="Times New Roman"/>
          <w:sz w:val="24"/>
          <w:szCs w:val="24"/>
          <w:lang w:eastAsia="ar-SA"/>
        </w:rPr>
        <w:t xml:space="preserve"> 2025</w:t>
      </w:r>
      <w:r w:rsidRPr="002A0F35">
        <w:rPr>
          <w:rFonts w:ascii="Times New Roman" w:eastAsia="Times New Roman" w:hAnsi="Times New Roman" w:cs="Times New Roman"/>
          <w:sz w:val="24"/>
          <w:szCs w:val="24"/>
          <w:lang w:eastAsia="ar-SA"/>
        </w:rPr>
        <w:t xml:space="preserve"> года.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Дата и время окончания приема заявок: </w:t>
      </w:r>
      <w:r w:rsidR="00904D68" w:rsidRPr="002A0F35">
        <w:rPr>
          <w:rFonts w:ascii="Times New Roman" w:eastAsia="Times New Roman" w:hAnsi="Times New Roman" w:cs="Times New Roman"/>
          <w:sz w:val="24"/>
          <w:szCs w:val="24"/>
          <w:lang w:eastAsia="ar-SA"/>
        </w:rPr>
        <w:t>10</w:t>
      </w:r>
      <w:r w:rsidRPr="002A0F35">
        <w:rPr>
          <w:rFonts w:ascii="Times New Roman" w:eastAsia="Times New Roman" w:hAnsi="Times New Roman" w:cs="Times New Roman"/>
          <w:sz w:val="24"/>
          <w:szCs w:val="24"/>
          <w:lang w:eastAsia="ar-SA"/>
        </w:rPr>
        <w:t xml:space="preserve"> часов </w:t>
      </w:r>
      <w:r w:rsidR="00904D68" w:rsidRPr="002A0F35">
        <w:rPr>
          <w:rFonts w:ascii="Times New Roman" w:eastAsia="Times New Roman" w:hAnsi="Times New Roman" w:cs="Times New Roman"/>
          <w:sz w:val="24"/>
          <w:szCs w:val="24"/>
          <w:lang w:eastAsia="ar-SA"/>
        </w:rPr>
        <w:t>00</w:t>
      </w:r>
      <w:r w:rsidRPr="002A0F35">
        <w:rPr>
          <w:rFonts w:ascii="Times New Roman" w:eastAsia="Times New Roman" w:hAnsi="Times New Roman" w:cs="Times New Roman"/>
          <w:sz w:val="24"/>
          <w:szCs w:val="24"/>
          <w:lang w:eastAsia="ar-SA"/>
        </w:rPr>
        <w:t xml:space="preserve"> минут по московскому времени </w:t>
      </w:r>
      <w:r w:rsidR="002A0F35" w:rsidRPr="002A0F35">
        <w:rPr>
          <w:rFonts w:ascii="Times New Roman" w:eastAsia="Times New Roman" w:hAnsi="Times New Roman" w:cs="Times New Roman"/>
          <w:sz w:val="24"/>
          <w:szCs w:val="24"/>
          <w:lang w:eastAsia="ar-SA"/>
        </w:rPr>
        <w:t>20</w:t>
      </w:r>
      <w:r w:rsidR="00090CE6" w:rsidRPr="002A0F35">
        <w:rPr>
          <w:rFonts w:ascii="Times New Roman" w:eastAsia="Times New Roman" w:hAnsi="Times New Roman" w:cs="Times New Roman"/>
          <w:sz w:val="24"/>
          <w:szCs w:val="24"/>
          <w:lang w:eastAsia="ar-SA"/>
        </w:rPr>
        <w:t xml:space="preserve"> октября</w:t>
      </w:r>
      <w:r w:rsidR="00473162" w:rsidRPr="002A0F35">
        <w:rPr>
          <w:rFonts w:ascii="Times New Roman" w:eastAsia="Times New Roman" w:hAnsi="Times New Roman" w:cs="Times New Roman"/>
          <w:sz w:val="24"/>
          <w:szCs w:val="24"/>
          <w:lang w:eastAsia="ar-SA"/>
        </w:rPr>
        <w:t xml:space="preserve"> 2025</w:t>
      </w:r>
      <w:r w:rsidRPr="002A0F35">
        <w:rPr>
          <w:rFonts w:ascii="Times New Roman" w:eastAsia="Times New Roman" w:hAnsi="Times New Roman" w:cs="Times New Roman"/>
          <w:sz w:val="24"/>
          <w:szCs w:val="24"/>
          <w:lang w:eastAsia="ar-SA"/>
        </w:rPr>
        <w:t xml:space="preserve"> года.</w:t>
      </w:r>
    </w:p>
    <w:p w:rsidR="002C1A8F" w:rsidRPr="002A0F35"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2A0F35" w:rsidRPr="002A0F35">
        <w:rPr>
          <w:rFonts w:ascii="Times New Roman" w:eastAsia="Times New Roman" w:hAnsi="Times New Roman" w:cs="Times New Roman"/>
          <w:sz w:val="24"/>
          <w:szCs w:val="24"/>
          <w:lang w:eastAsia="ar-SA"/>
        </w:rPr>
        <w:t>22</w:t>
      </w:r>
      <w:r w:rsidR="00090CE6" w:rsidRPr="002A0F35">
        <w:rPr>
          <w:rFonts w:ascii="Times New Roman" w:eastAsia="Times New Roman" w:hAnsi="Times New Roman" w:cs="Times New Roman"/>
          <w:sz w:val="24"/>
          <w:szCs w:val="24"/>
          <w:lang w:eastAsia="ar-SA"/>
        </w:rPr>
        <w:t xml:space="preserve"> октября</w:t>
      </w:r>
      <w:r w:rsidR="00A84ED3" w:rsidRPr="002A0F35">
        <w:rPr>
          <w:rFonts w:ascii="Times New Roman" w:eastAsia="Times New Roman" w:hAnsi="Times New Roman" w:cs="Times New Roman"/>
          <w:sz w:val="24"/>
          <w:szCs w:val="24"/>
          <w:lang w:eastAsia="ar-SA"/>
        </w:rPr>
        <w:t xml:space="preserve"> 2025</w:t>
      </w:r>
      <w:r w:rsidRPr="002A0F35">
        <w:rPr>
          <w:rFonts w:ascii="Times New Roman" w:eastAsia="Times New Roman" w:hAnsi="Times New Roman" w:cs="Times New Roman"/>
          <w:sz w:val="24"/>
          <w:szCs w:val="24"/>
          <w:lang w:eastAsia="ar-SA"/>
        </w:rPr>
        <w:t xml:space="preserve"> года.</w:t>
      </w:r>
    </w:p>
    <w:p w:rsidR="002C1A8F" w:rsidRPr="002A0F35" w:rsidRDefault="002C1A8F"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w:t>
      </w:r>
      <w:r w:rsidRPr="002A0F35">
        <w:rPr>
          <w:rFonts w:ascii="Times New Roman" w:eastAsia="Times New Roman" w:hAnsi="Times New Roman" w:cs="Times New Roman"/>
          <w:sz w:val="24"/>
          <w:szCs w:val="24"/>
          <w:lang w:eastAsia="ar-SA"/>
        </w:rPr>
        <w:lastRenderedPageBreak/>
        <w:t>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2A0F3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2A0F3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2A0F3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2A0F3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c </w:t>
      </w:r>
      <w:r w:rsidR="00904D68" w:rsidRPr="002A0F35">
        <w:rPr>
          <w:rFonts w:ascii="Times New Roman" w:eastAsia="Times New Roman" w:hAnsi="Times New Roman" w:cs="Times New Roman"/>
          <w:sz w:val="24"/>
          <w:szCs w:val="24"/>
          <w:lang w:eastAsia="ar-SA"/>
        </w:rPr>
        <w:t>10:00</w:t>
      </w:r>
      <w:r w:rsidRPr="002A0F35">
        <w:rPr>
          <w:rFonts w:ascii="Times New Roman" w:eastAsia="Times New Roman" w:hAnsi="Times New Roman" w:cs="Times New Roman"/>
          <w:sz w:val="24"/>
          <w:szCs w:val="24"/>
          <w:lang w:eastAsia="ar-SA"/>
        </w:rPr>
        <w:t xml:space="preserve"> часов (МСК) </w:t>
      </w:r>
      <w:r w:rsidR="002A0F35" w:rsidRPr="002A0F35">
        <w:rPr>
          <w:rFonts w:ascii="Times New Roman" w:eastAsia="Times New Roman" w:hAnsi="Times New Roman" w:cs="Times New Roman"/>
          <w:sz w:val="24"/>
          <w:szCs w:val="24"/>
          <w:lang w:eastAsia="ar-SA"/>
        </w:rPr>
        <w:t>09.10</w:t>
      </w:r>
      <w:r w:rsidR="00473162" w:rsidRPr="002A0F35">
        <w:rPr>
          <w:rFonts w:ascii="Times New Roman" w:eastAsia="Times New Roman" w:hAnsi="Times New Roman" w:cs="Times New Roman"/>
          <w:sz w:val="24"/>
          <w:szCs w:val="24"/>
          <w:lang w:eastAsia="ar-SA"/>
        </w:rPr>
        <w:t>.2025</w:t>
      </w:r>
      <w:r w:rsidRPr="002A0F35">
        <w:rPr>
          <w:rFonts w:ascii="Times New Roman" w:eastAsia="Times New Roman" w:hAnsi="Times New Roman" w:cs="Times New Roman"/>
          <w:sz w:val="24"/>
          <w:szCs w:val="24"/>
          <w:lang w:eastAsia="ar-SA"/>
        </w:rPr>
        <w:t xml:space="preserve"> до </w:t>
      </w:r>
      <w:r w:rsidR="00904D68" w:rsidRPr="002A0F35">
        <w:rPr>
          <w:rFonts w:ascii="Times New Roman" w:eastAsia="Times New Roman" w:hAnsi="Times New Roman" w:cs="Times New Roman"/>
          <w:sz w:val="24"/>
          <w:szCs w:val="24"/>
          <w:lang w:eastAsia="ar-SA"/>
        </w:rPr>
        <w:t xml:space="preserve">10:00 </w:t>
      </w:r>
      <w:r w:rsidRPr="002A0F35">
        <w:rPr>
          <w:rFonts w:ascii="Times New Roman" w:eastAsia="Times New Roman" w:hAnsi="Times New Roman" w:cs="Times New Roman"/>
          <w:sz w:val="24"/>
          <w:szCs w:val="24"/>
          <w:lang w:eastAsia="ar-SA"/>
        </w:rPr>
        <w:t xml:space="preserve">часов (МСК) </w:t>
      </w:r>
      <w:r w:rsidR="002A0F35" w:rsidRPr="002A0F35">
        <w:rPr>
          <w:rFonts w:ascii="Times New Roman" w:eastAsia="Times New Roman" w:hAnsi="Times New Roman" w:cs="Times New Roman"/>
          <w:sz w:val="24"/>
          <w:szCs w:val="24"/>
          <w:lang w:eastAsia="ar-SA"/>
        </w:rPr>
        <w:t>20</w:t>
      </w:r>
      <w:r w:rsidR="00090CE6" w:rsidRPr="002A0F35">
        <w:rPr>
          <w:rFonts w:ascii="Times New Roman" w:eastAsia="Times New Roman" w:hAnsi="Times New Roman" w:cs="Times New Roman"/>
          <w:sz w:val="24"/>
          <w:szCs w:val="24"/>
          <w:lang w:eastAsia="ar-SA"/>
        </w:rPr>
        <w:t>.10</w:t>
      </w:r>
      <w:r w:rsidR="00014826" w:rsidRPr="002A0F35">
        <w:rPr>
          <w:rFonts w:ascii="Times New Roman" w:eastAsia="Times New Roman" w:hAnsi="Times New Roman" w:cs="Times New Roman"/>
          <w:sz w:val="24"/>
          <w:szCs w:val="24"/>
          <w:lang w:eastAsia="ar-SA"/>
        </w:rPr>
        <w:t>.202</w:t>
      </w:r>
      <w:r w:rsidR="00A84ED3" w:rsidRPr="002A0F35">
        <w:rPr>
          <w:rFonts w:ascii="Times New Roman" w:eastAsia="Times New Roman" w:hAnsi="Times New Roman" w:cs="Times New Roman"/>
          <w:sz w:val="24"/>
          <w:szCs w:val="24"/>
          <w:lang w:eastAsia="ar-SA"/>
        </w:rPr>
        <w:t>5</w:t>
      </w:r>
      <w:r w:rsidRPr="002A0F35">
        <w:rPr>
          <w:rFonts w:ascii="Times New Roman" w:eastAsia="Times New Roman" w:hAnsi="Times New Roman" w:cs="Times New Roman"/>
          <w:sz w:val="24"/>
          <w:szCs w:val="24"/>
          <w:lang w:eastAsia="ar-SA"/>
        </w:rPr>
        <w:t>.</w:t>
      </w:r>
    </w:p>
    <w:p w:rsidR="00904D68" w:rsidRPr="002A0F35"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2A0F35"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Порядок возврата задатка: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ПОРЯДОК ПРОВЕДЕНИЯ ЭЛЕКТРОННОГО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1. Рассмотрение заявок:</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2A0F35">
        <w:rPr>
          <w:rFonts w:ascii="Times New Roman" w:eastAsia="Times New Roman" w:hAnsi="Times New Roman" w:cs="Times New Roman"/>
          <w:sz w:val="24"/>
          <w:szCs w:val="24"/>
          <w:lang w:eastAsia="ar-SA"/>
        </w:rPr>
        <w:t>20</w:t>
      </w:r>
      <w:r w:rsidRPr="002A0F35">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2A0F35"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2A0F35">
        <w:rPr>
          <w:rFonts w:ascii="Times New Roman" w:eastAsia="Times New Roman" w:hAnsi="Times New Roman" w:cs="Times New Roman"/>
          <w:b/>
          <w:sz w:val="24"/>
          <w:szCs w:val="24"/>
          <w:lang w:eastAsia="ar-SA"/>
        </w:rPr>
        <w:t xml:space="preserve">2. </w:t>
      </w:r>
      <w:r w:rsidR="00F47A5D" w:rsidRPr="002A0F35">
        <w:rPr>
          <w:rFonts w:ascii="Times New Roman" w:eastAsia="Times New Roman" w:hAnsi="Times New Roman" w:cs="Times New Roman"/>
          <w:b/>
          <w:sz w:val="24"/>
          <w:szCs w:val="24"/>
          <w:lang w:eastAsia="ar-SA"/>
        </w:rPr>
        <w:t>Порядок проведения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2A0F35"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При проведении электронного аукциона </w:t>
      </w:r>
      <w:r w:rsidR="00F47A5D"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ш</w:t>
      </w:r>
      <w:r w:rsidR="00F47A5D" w:rsidRPr="002A0F35">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2A0F35">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2A0F35">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2A0F35">
        <w:rPr>
          <w:rFonts w:ascii="Times New Roman" w:eastAsia="Times New Roman" w:hAnsi="Times New Roman" w:cs="Times New Roman"/>
          <w:sz w:val="24"/>
          <w:szCs w:val="24"/>
          <w:lang w:eastAsia="ar-SA"/>
        </w:rPr>
        <w:t xml:space="preserve"> </w:t>
      </w:r>
      <w:r w:rsidRPr="002A0F35">
        <w:rPr>
          <w:rFonts w:ascii="Times New Roman" w:eastAsia="Times New Roman" w:hAnsi="Times New Roman" w:cs="Times New Roman"/>
          <w:sz w:val="24"/>
          <w:szCs w:val="24"/>
          <w:lang w:eastAsia="ar-SA"/>
        </w:rPr>
        <w:t>оператор электронной площадки размещается: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2A0F35">
        <w:rPr>
          <w:rFonts w:ascii="Times New Roman" w:eastAsia="Times New Roman" w:hAnsi="Times New Roman" w:cs="Times New Roman"/>
          <w:sz w:val="24"/>
          <w:szCs w:val="24"/>
          <w:lang w:eastAsia="ar-SA"/>
        </w:rPr>
        <w:t xml:space="preserve"> «</w:t>
      </w:r>
      <w:r w:rsidRPr="002A0F35">
        <w:rPr>
          <w:rFonts w:ascii="Times New Roman" w:eastAsia="Times New Roman" w:hAnsi="Times New Roman" w:cs="Times New Roman"/>
          <w:sz w:val="24"/>
          <w:szCs w:val="24"/>
          <w:lang w:eastAsia="ar-SA"/>
        </w:rPr>
        <w:t>шага аукциона</w:t>
      </w:r>
      <w:r w:rsidR="007006FF"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шаг аукциона</w:t>
      </w:r>
      <w:r w:rsidR="007006FF"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lastRenderedPageBreak/>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шаг аукциона</w:t>
      </w:r>
      <w:r w:rsidR="0041091B" w:rsidRPr="002A0F35">
        <w:rPr>
          <w:rFonts w:ascii="Times New Roman" w:eastAsia="Times New Roman" w:hAnsi="Times New Roman" w:cs="Times New Roman"/>
          <w:sz w:val="24"/>
          <w:szCs w:val="24"/>
          <w:lang w:eastAsia="ar-SA"/>
        </w:rPr>
        <w:t>»</w:t>
      </w:r>
      <w:r w:rsidRPr="002A0F35">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2A0F35">
        <w:rPr>
          <w:rFonts w:ascii="Times New Roman" w:eastAsia="Times New Roman" w:hAnsi="Times New Roman" w:cs="Times New Roman"/>
          <w:sz w:val="24"/>
          <w:szCs w:val="24"/>
          <w:lang w:eastAsia="ar-SA"/>
        </w:rPr>
        <w:t xml:space="preserve"> </w:t>
      </w:r>
      <w:r w:rsidRPr="002A0F35">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в аукционе участвовал только один участник;</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lastRenderedPageBreak/>
        <w:t>- в случае отказа лица, признанного единственным участником аукциона, от заключения договора аренды земельного участка.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 земельного участка.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2A0F3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2A0F35">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2A0F35" w:rsidRPr="002A0F35">
        <w:rPr>
          <w:rFonts w:ascii="Times New Roman" w:eastAsia="Times New Roman" w:hAnsi="Times New Roman" w:cs="Times New Roman"/>
          <w:sz w:val="24"/>
          <w:szCs w:val="24"/>
          <w:lang w:eastAsia="ar-SA"/>
        </w:rPr>
        <w:t xml:space="preserve"> ответ о возможности технологического присоединения АО «Курскоблводоканал от 08.08.2025 года;</w:t>
      </w:r>
      <w:r w:rsidR="00E7450A" w:rsidRPr="002A0F35">
        <w:rPr>
          <w:rFonts w:ascii="Times New Roman" w:eastAsia="Times New Roman" w:hAnsi="Times New Roman" w:cs="Times New Roman"/>
          <w:sz w:val="24"/>
          <w:szCs w:val="24"/>
          <w:lang w:eastAsia="ar-SA"/>
        </w:rPr>
        <w:t xml:space="preserve"> </w:t>
      </w:r>
      <w:r w:rsidR="001328C0" w:rsidRPr="002A0F35">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2A0F35" w:rsidRPr="002A0F35">
        <w:rPr>
          <w:rFonts w:ascii="Times New Roman" w:eastAsia="Times New Roman" w:hAnsi="Times New Roman" w:cs="Times New Roman"/>
          <w:sz w:val="24"/>
          <w:szCs w:val="24"/>
          <w:lang w:eastAsia="ar-SA"/>
        </w:rPr>
        <w:t>08.08</w:t>
      </w:r>
      <w:r w:rsidR="001328C0" w:rsidRPr="002A0F35">
        <w:rPr>
          <w:rFonts w:ascii="Times New Roman" w:eastAsia="Times New Roman" w:hAnsi="Times New Roman" w:cs="Times New Roman"/>
          <w:sz w:val="24"/>
          <w:szCs w:val="24"/>
          <w:lang w:eastAsia="ar-SA"/>
        </w:rPr>
        <w:t xml:space="preserve">.2025 года; </w:t>
      </w:r>
      <w:r w:rsidR="00090CE6" w:rsidRPr="002A0F35">
        <w:rPr>
          <w:rFonts w:ascii="Times New Roman" w:eastAsia="Times New Roman" w:hAnsi="Times New Roman" w:cs="Times New Roman"/>
          <w:sz w:val="24"/>
          <w:szCs w:val="24"/>
          <w:lang w:eastAsia="ar-SA"/>
        </w:rPr>
        <w:t>градостроительный план земельного участка № РФ-46-4-06-2-00-2025-074</w:t>
      </w:r>
      <w:r w:rsidR="002A0F35" w:rsidRPr="002A0F35">
        <w:rPr>
          <w:rFonts w:ascii="Times New Roman" w:eastAsia="Times New Roman" w:hAnsi="Times New Roman" w:cs="Times New Roman"/>
          <w:sz w:val="24"/>
          <w:szCs w:val="24"/>
          <w:lang w:eastAsia="ar-SA"/>
        </w:rPr>
        <w:t>2</w:t>
      </w:r>
      <w:r w:rsidR="00090CE6" w:rsidRPr="002A0F35">
        <w:rPr>
          <w:rFonts w:ascii="Times New Roman" w:eastAsia="Times New Roman" w:hAnsi="Times New Roman" w:cs="Times New Roman"/>
          <w:sz w:val="24"/>
          <w:szCs w:val="24"/>
          <w:lang w:eastAsia="ar-SA"/>
        </w:rPr>
        <w:t>-0 от 18.09.2025 года</w:t>
      </w:r>
      <w:r w:rsidR="002A0F35" w:rsidRPr="002A0F35">
        <w:rPr>
          <w:rFonts w:ascii="Times New Roman" w:eastAsia="Times New Roman" w:hAnsi="Times New Roman" w:cs="Times New Roman"/>
          <w:sz w:val="24"/>
          <w:szCs w:val="24"/>
          <w:lang w:eastAsia="ar-SA"/>
        </w:rPr>
        <w:t>;</w:t>
      </w:r>
      <w:r w:rsidR="00090CE6" w:rsidRPr="002A0F35">
        <w:rPr>
          <w:rFonts w:ascii="Times New Roman" w:eastAsia="Times New Roman" w:hAnsi="Times New Roman" w:cs="Times New Roman"/>
          <w:sz w:val="24"/>
          <w:szCs w:val="24"/>
          <w:lang w:eastAsia="ar-SA"/>
        </w:rPr>
        <w:t xml:space="preserve"> </w:t>
      </w:r>
      <w:r w:rsidR="00E7450A" w:rsidRPr="002A0F35">
        <w:rPr>
          <w:rFonts w:ascii="Times New Roman" w:eastAsia="Times New Roman" w:hAnsi="Times New Roman" w:cs="Times New Roman"/>
          <w:sz w:val="24"/>
          <w:szCs w:val="24"/>
          <w:lang w:eastAsia="ar-SA"/>
        </w:rPr>
        <w:t xml:space="preserve">выписка ЕГРН от </w:t>
      </w:r>
      <w:r w:rsidR="002A0F35" w:rsidRPr="002A0F35">
        <w:rPr>
          <w:rFonts w:ascii="Times New Roman" w:eastAsia="Times New Roman" w:hAnsi="Times New Roman" w:cs="Times New Roman"/>
          <w:sz w:val="24"/>
          <w:szCs w:val="24"/>
          <w:lang w:eastAsia="ar-SA"/>
        </w:rPr>
        <w:t>29</w:t>
      </w:r>
      <w:r w:rsidR="001328C0" w:rsidRPr="002A0F35">
        <w:rPr>
          <w:rFonts w:ascii="Times New Roman" w:eastAsia="Times New Roman" w:hAnsi="Times New Roman" w:cs="Times New Roman"/>
          <w:sz w:val="24"/>
          <w:szCs w:val="24"/>
          <w:lang w:eastAsia="ar-SA"/>
        </w:rPr>
        <w:t>.09</w:t>
      </w:r>
      <w:r w:rsidR="00E7450A" w:rsidRPr="002A0F35">
        <w:rPr>
          <w:rFonts w:ascii="Times New Roman" w:eastAsia="Times New Roman" w:hAnsi="Times New Roman" w:cs="Times New Roman"/>
          <w:sz w:val="24"/>
          <w:szCs w:val="24"/>
          <w:lang w:eastAsia="ar-SA"/>
        </w:rPr>
        <w:t>.2025 года</w:t>
      </w:r>
      <w:r w:rsidRPr="002A0F35">
        <w:rPr>
          <w:rFonts w:ascii="Times New Roman" w:eastAsia="Times New Roman" w:hAnsi="Times New Roman" w:cs="Times New Roman"/>
          <w:sz w:val="24"/>
          <w:szCs w:val="24"/>
          <w:lang w:eastAsia="ar-SA"/>
        </w:rPr>
        <w:t>.</w:t>
      </w:r>
    </w:p>
    <w:p w:rsidR="00F47A5D" w:rsidRPr="002A0F3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2A0F35" w:rsidRDefault="002F5F1A">
      <w:pPr>
        <w:rPr>
          <w:b/>
        </w:rPr>
      </w:pPr>
    </w:p>
    <w:sectPr w:rsidR="002F5F1A" w:rsidRPr="002A0F35" w:rsidSect="001328C0">
      <w:footerReference w:type="default" r:id="rId9"/>
      <w:pgSz w:w="11906" w:h="16838"/>
      <w:pgMar w:top="964" w:right="73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2E8" w:rsidRDefault="008332E8" w:rsidP="00014826">
      <w:pPr>
        <w:spacing w:after="0" w:line="240" w:lineRule="auto"/>
      </w:pPr>
      <w:r>
        <w:separator/>
      </w:r>
    </w:p>
  </w:endnote>
  <w:endnote w:type="continuationSeparator" w:id="1">
    <w:p w:rsidR="008332E8" w:rsidRDefault="008332E8"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8A1451"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065137">
          <w:rPr>
            <w:rFonts w:ascii="Times New Roman" w:hAnsi="Times New Roman" w:cs="Times New Roman"/>
            <w:noProof/>
          </w:rPr>
          <w:t>1</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2E8" w:rsidRDefault="008332E8" w:rsidP="00014826">
      <w:pPr>
        <w:spacing w:after="0" w:line="240" w:lineRule="auto"/>
      </w:pPr>
      <w:r>
        <w:separator/>
      </w:r>
    </w:p>
  </w:footnote>
  <w:footnote w:type="continuationSeparator" w:id="1">
    <w:p w:rsidR="008332E8" w:rsidRDefault="008332E8"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E674D"/>
    <w:multiLevelType w:val="hybridMultilevel"/>
    <w:tmpl w:val="6BB09C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A3F3493"/>
    <w:multiLevelType w:val="hybridMultilevel"/>
    <w:tmpl w:val="42D664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826"/>
    <w:rsid w:val="00032D0D"/>
    <w:rsid w:val="0005124F"/>
    <w:rsid w:val="00065137"/>
    <w:rsid w:val="00080A35"/>
    <w:rsid w:val="00090CE6"/>
    <w:rsid w:val="000A44BD"/>
    <w:rsid w:val="000F4ADA"/>
    <w:rsid w:val="001328C0"/>
    <w:rsid w:val="00136910"/>
    <w:rsid w:val="001954A6"/>
    <w:rsid w:val="001A1729"/>
    <w:rsid w:val="001E7612"/>
    <w:rsid w:val="002550E3"/>
    <w:rsid w:val="002744B0"/>
    <w:rsid w:val="00284737"/>
    <w:rsid w:val="002A0F35"/>
    <w:rsid w:val="002C078E"/>
    <w:rsid w:val="002C1A8F"/>
    <w:rsid w:val="002D36DF"/>
    <w:rsid w:val="002E5EB2"/>
    <w:rsid w:val="002F5F1A"/>
    <w:rsid w:val="003104A9"/>
    <w:rsid w:val="003219F5"/>
    <w:rsid w:val="00325FE7"/>
    <w:rsid w:val="00333BBC"/>
    <w:rsid w:val="003754F4"/>
    <w:rsid w:val="00377E84"/>
    <w:rsid w:val="00386A99"/>
    <w:rsid w:val="00386F41"/>
    <w:rsid w:val="003C3FD0"/>
    <w:rsid w:val="004076B0"/>
    <w:rsid w:val="0041091B"/>
    <w:rsid w:val="0046333B"/>
    <w:rsid w:val="00473162"/>
    <w:rsid w:val="004A1564"/>
    <w:rsid w:val="004A1CED"/>
    <w:rsid w:val="004B0B75"/>
    <w:rsid w:val="005059EC"/>
    <w:rsid w:val="00513EA6"/>
    <w:rsid w:val="00543FF7"/>
    <w:rsid w:val="00565099"/>
    <w:rsid w:val="00577008"/>
    <w:rsid w:val="005C67A2"/>
    <w:rsid w:val="005C6C72"/>
    <w:rsid w:val="005D1CE7"/>
    <w:rsid w:val="005D70B1"/>
    <w:rsid w:val="0060218F"/>
    <w:rsid w:val="0063453F"/>
    <w:rsid w:val="00662B1C"/>
    <w:rsid w:val="006719F6"/>
    <w:rsid w:val="00674464"/>
    <w:rsid w:val="00693A1A"/>
    <w:rsid w:val="006C2F45"/>
    <w:rsid w:val="007006FF"/>
    <w:rsid w:val="00753E82"/>
    <w:rsid w:val="00764F46"/>
    <w:rsid w:val="007802F9"/>
    <w:rsid w:val="007839BD"/>
    <w:rsid w:val="00787150"/>
    <w:rsid w:val="0079027B"/>
    <w:rsid w:val="007A1813"/>
    <w:rsid w:val="007C39D7"/>
    <w:rsid w:val="007C5FFC"/>
    <w:rsid w:val="007E21CC"/>
    <w:rsid w:val="007E4341"/>
    <w:rsid w:val="00831A05"/>
    <w:rsid w:val="00832F0D"/>
    <w:rsid w:val="008332E8"/>
    <w:rsid w:val="00840BCB"/>
    <w:rsid w:val="0086448F"/>
    <w:rsid w:val="00884FB7"/>
    <w:rsid w:val="0088588D"/>
    <w:rsid w:val="008A1451"/>
    <w:rsid w:val="008C070E"/>
    <w:rsid w:val="008E012D"/>
    <w:rsid w:val="008E57CE"/>
    <w:rsid w:val="008E6B46"/>
    <w:rsid w:val="008E7DD9"/>
    <w:rsid w:val="008F2392"/>
    <w:rsid w:val="00904D68"/>
    <w:rsid w:val="00937EE7"/>
    <w:rsid w:val="009457FC"/>
    <w:rsid w:val="009461AD"/>
    <w:rsid w:val="009A427D"/>
    <w:rsid w:val="009A5C91"/>
    <w:rsid w:val="00A60155"/>
    <w:rsid w:val="00A84ED3"/>
    <w:rsid w:val="00AC468E"/>
    <w:rsid w:val="00B62A4F"/>
    <w:rsid w:val="00B81B2B"/>
    <w:rsid w:val="00B853BF"/>
    <w:rsid w:val="00B92F4C"/>
    <w:rsid w:val="00B9381B"/>
    <w:rsid w:val="00BB719F"/>
    <w:rsid w:val="00BD3940"/>
    <w:rsid w:val="00BF2952"/>
    <w:rsid w:val="00C33AC6"/>
    <w:rsid w:val="00C4247A"/>
    <w:rsid w:val="00C556B3"/>
    <w:rsid w:val="00C63F45"/>
    <w:rsid w:val="00C71CEC"/>
    <w:rsid w:val="00CB3F50"/>
    <w:rsid w:val="00CC4052"/>
    <w:rsid w:val="00CD494B"/>
    <w:rsid w:val="00CF3E27"/>
    <w:rsid w:val="00CF7260"/>
    <w:rsid w:val="00D11178"/>
    <w:rsid w:val="00D36229"/>
    <w:rsid w:val="00D612A4"/>
    <w:rsid w:val="00D63B0B"/>
    <w:rsid w:val="00D939E0"/>
    <w:rsid w:val="00DB74D2"/>
    <w:rsid w:val="00DC5B16"/>
    <w:rsid w:val="00E204CC"/>
    <w:rsid w:val="00E32C29"/>
    <w:rsid w:val="00E32CD4"/>
    <w:rsid w:val="00E46831"/>
    <w:rsid w:val="00E6717A"/>
    <w:rsid w:val="00E729CE"/>
    <w:rsid w:val="00E7450A"/>
    <w:rsid w:val="00E84075"/>
    <w:rsid w:val="00E84BA9"/>
    <w:rsid w:val="00E943F0"/>
    <w:rsid w:val="00EA183E"/>
    <w:rsid w:val="00EC7213"/>
    <w:rsid w:val="00ED228A"/>
    <w:rsid w:val="00ED266F"/>
    <w:rsid w:val="00F114A3"/>
    <w:rsid w:val="00F13F72"/>
    <w:rsid w:val="00F156C1"/>
    <w:rsid w:val="00F17F2D"/>
    <w:rsid w:val="00F21357"/>
    <w:rsid w:val="00F2747E"/>
    <w:rsid w:val="00F35519"/>
    <w:rsid w:val="00F47A5D"/>
    <w:rsid w:val="00F6368A"/>
    <w:rsid w:val="00F74303"/>
    <w:rsid w:val="00F90F55"/>
    <w:rsid w:val="00FB2341"/>
    <w:rsid w:val="00FD047A"/>
    <w:rsid w:val="00FD2A90"/>
    <w:rsid w:val="00FD48A5"/>
    <w:rsid w:val="00FD75C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3811</Words>
  <Characters>21728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16</cp:revision>
  <dcterms:created xsi:type="dcterms:W3CDTF">2025-03-25T07:13:00Z</dcterms:created>
  <dcterms:modified xsi:type="dcterms:W3CDTF">2025-10-07T14:03:00Z</dcterms:modified>
</cp:coreProperties>
</file>